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16" w:rsidRPr="00452C16" w:rsidRDefault="00452C16" w:rsidP="00452C16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344DB7A1" wp14:editId="248A7E2C">
            <wp:simplePos x="0" y="0"/>
            <wp:positionH relativeFrom="column">
              <wp:posOffset>4219575</wp:posOffset>
            </wp:positionH>
            <wp:positionV relativeFrom="paragraph">
              <wp:posOffset>-168910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16">
        <w:rPr>
          <w:rFonts w:ascii="Arial Narrow" w:hAnsi="Arial Narrow"/>
          <w:b/>
          <w:sz w:val="32"/>
          <w:szCs w:val="32"/>
        </w:rPr>
        <w:t>ZAJÍMAVÉ DRUHY ŘAS</w:t>
      </w:r>
      <w:r>
        <w:rPr>
          <w:rFonts w:ascii="Arial Narrow" w:hAnsi="Arial Narrow"/>
          <w:b/>
          <w:sz w:val="32"/>
          <w:szCs w:val="32"/>
        </w:rPr>
        <w:t xml:space="preserve"> </w:t>
      </w:r>
    </w:p>
    <w:p w:rsidR="00452C16" w:rsidRDefault="0035602C" w:rsidP="00452C16">
      <w:pPr>
        <w:spacing w:after="0"/>
        <w:rPr>
          <w:rFonts w:ascii="Arial Narrow" w:hAnsi="Arial Narrow"/>
          <w:sz w:val="28"/>
          <w:szCs w:val="28"/>
        </w:rPr>
      </w:pPr>
      <w:r w:rsidRPr="0035602C">
        <w:rPr>
          <w:rFonts w:ascii="Arial Narrow" w:hAnsi="Arial Narrow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CEDD20" wp14:editId="4105F7D5">
            <wp:simplePos x="0" y="0"/>
            <wp:positionH relativeFrom="column">
              <wp:posOffset>4258945</wp:posOffset>
            </wp:positionH>
            <wp:positionV relativeFrom="paragraph">
              <wp:posOffset>138430</wp:posOffset>
            </wp:positionV>
            <wp:extent cx="2400300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429" y="21477"/>
                <wp:lineTo x="21429" y="0"/>
                <wp:lineTo x="0" y="0"/>
              </wp:wrapPolygon>
            </wp:wrapTight>
            <wp:docPr id="1" name="irc_mi" descr="http://www.fismeister.eu/img/volvoxglob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smeister.eu/img/volvoxgloba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9B5" w:rsidRDefault="002909B5" w:rsidP="0035602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452C16" w:rsidRDefault="00452C16" w:rsidP="0035602C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35602C">
        <w:rPr>
          <w:rFonts w:ascii="Arial Narrow" w:hAnsi="Arial Narrow"/>
          <w:sz w:val="24"/>
          <w:szCs w:val="24"/>
        </w:rPr>
        <w:t>V tajence získáš druhový název zvláštní řasy. Představuje důležitý stupínek ve vývoji života na Zemi.  Tato jednobuněčná řasa vytváří kolonie připomínající mnohobuněčný organismus. Tyto kolonie mají kulovitý tvar a sdružuje se v </w:t>
      </w:r>
      <w:r w:rsidR="0035602C" w:rsidRPr="0035602C">
        <w:rPr>
          <w:rFonts w:ascii="Arial Narrow" w:hAnsi="Arial Narrow"/>
          <w:sz w:val="24"/>
          <w:szCs w:val="24"/>
        </w:rPr>
        <w:t>nich</w:t>
      </w:r>
      <w:r w:rsidRPr="0035602C">
        <w:rPr>
          <w:rFonts w:ascii="Arial Narrow" w:hAnsi="Arial Narrow"/>
          <w:sz w:val="24"/>
          <w:szCs w:val="24"/>
        </w:rPr>
        <w:t xml:space="preserve"> 500</w:t>
      </w:r>
      <w:r w:rsidR="0035602C" w:rsidRPr="0035602C">
        <w:rPr>
          <w:rFonts w:ascii="Arial Narrow" w:hAnsi="Arial Narrow"/>
          <w:sz w:val="24"/>
          <w:szCs w:val="24"/>
        </w:rPr>
        <w:t xml:space="preserve"> až </w:t>
      </w:r>
      <w:r w:rsidRPr="0035602C">
        <w:rPr>
          <w:rFonts w:ascii="Arial Narrow" w:hAnsi="Arial Narrow"/>
          <w:sz w:val="24"/>
          <w:szCs w:val="24"/>
        </w:rPr>
        <w:t>1000 buněk. Buňky se specializují na různé funkce, některé slouží k pohybu, jiné zajišťují např. rozmnožování</w:t>
      </w:r>
      <w:r w:rsidRPr="00452C16">
        <w:rPr>
          <w:rFonts w:ascii="Arial Narrow" w:hAnsi="Arial Narrow"/>
          <w:sz w:val="28"/>
          <w:szCs w:val="28"/>
        </w:rPr>
        <w:t xml:space="preserve">. </w:t>
      </w:r>
    </w:p>
    <w:p w:rsidR="0035602C" w:rsidRDefault="00452C1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35602C">
        <w:rPr>
          <w:rFonts w:ascii="Arial Narrow" w:hAnsi="Arial Narrow"/>
          <w:sz w:val="28"/>
          <w:szCs w:val="28"/>
        </w:rPr>
        <w:t xml:space="preserve">                                                                                 </w:t>
      </w:r>
    </w:p>
    <w:p w:rsidR="00452C16" w:rsidRPr="0035602C" w:rsidRDefault="0035602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</w:t>
      </w:r>
      <w:hyperlink r:id="rId8" w:history="1">
        <w:r w:rsidR="00452C16" w:rsidRPr="00452C16">
          <w:rPr>
            <w:rStyle w:val="Hypertextovodkaz"/>
            <w:rFonts w:ascii="Arial Narrow" w:hAnsi="Arial Narrow"/>
            <w:sz w:val="20"/>
            <w:szCs w:val="20"/>
          </w:rPr>
          <w:t>http://www.fismeister.eu/img/volvoxglobator.jpg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9"/>
        <w:gridCol w:w="1169"/>
        <w:gridCol w:w="1169"/>
        <w:gridCol w:w="1169"/>
      </w:tblGrid>
      <w:tr w:rsidR="0035602C" w:rsidTr="0035602C">
        <w:trPr>
          <w:gridBefore w:val="2"/>
          <w:wBefore w:w="2336" w:type="dxa"/>
          <w:trHeight w:val="485"/>
        </w:trPr>
        <w:tc>
          <w:tcPr>
            <w:tcW w:w="1168" w:type="dxa"/>
          </w:tcPr>
          <w:p w:rsidR="0035602C" w:rsidRDefault="0035602C"/>
        </w:tc>
        <w:tc>
          <w:tcPr>
            <w:tcW w:w="1168" w:type="dxa"/>
            <w:tcBorders>
              <w:right w:val="single" w:sz="18" w:space="0" w:color="auto"/>
            </w:tcBorders>
          </w:tcPr>
          <w:p w:rsidR="0035602C" w:rsidRDefault="0035602C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5602C" w:rsidRDefault="0035602C"/>
        </w:tc>
        <w:tc>
          <w:tcPr>
            <w:tcW w:w="1169" w:type="dxa"/>
            <w:tcBorders>
              <w:left w:val="single" w:sz="18" w:space="0" w:color="auto"/>
            </w:tcBorders>
          </w:tcPr>
          <w:p w:rsidR="0035602C" w:rsidRDefault="0035602C"/>
        </w:tc>
        <w:tc>
          <w:tcPr>
            <w:tcW w:w="1169" w:type="dxa"/>
          </w:tcPr>
          <w:p w:rsidR="0035602C" w:rsidRDefault="0035602C"/>
        </w:tc>
        <w:tc>
          <w:tcPr>
            <w:tcW w:w="1169" w:type="dxa"/>
          </w:tcPr>
          <w:p w:rsidR="0035602C" w:rsidRDefault="0035602C"/>
        </w:tc>
        <w:tc>
          <w:tcPr>
            <w:tcW w:w="1169" w:type="dxa"/>
          </w:tcPr>
          <w:p w:rsidR="0035602C" w:rsidRDefault="0035602C"/>
        </w:tc>
      </w:tr>
      <w:tr w:rsidR="00452C16" w:rsidTr="00452C16">
        <w:trPr>
          <w:trHeight w:val="458"/>
        </w:trPr>
        <w:tc>
          <w:tcPr>
            <w:tcW w:w="2336" w:type="dxa"/>
            <w:gridSpan w:val="2"/>
            <w:tcBorders>
              <w:top w:val="nil"/>
              <w:left w:val="nil"/>
            </w:tcBorders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2338" w:type="dxa"/>
            <w:gridSpan w:val="2"/>
            <w:tcBorders>
              <w:bottom w:val="nil"/>
              <w:right w:val="nil"/>
            </w:tcBorders>
          </w:tcPr>
          <w:p w:rsidR="00452C16" w:rsidRDefault="00452C16"/>
        </w:tc>
      </w:tr>
      <w:tr w:rsidR="00452C16" w:rsidTr="00452C16">
        <w:trPr>
          <w:trHeight w:val="485"/>
        </w:trPr>
        <w:tc>
          <w:tcPr>
            <w:tcW w:w="1168" w:type="dxa"/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3507" w:type="dxa"/>
            <w:gridSpan w:val="3"/>
            <w:tcBorders>
              <w:top w:val="nil"/>
              <w:bottom w:val="nil"/>
              <w:right w:val="nil"/>
            </w:tcBorders>
          </w:tcPr>
          <w:p w:rsidR="00452C16" w:rsidRDefault="00452C16"/>
        </w:tc>
      </w:tr>
      <w:tr w:rsidR="00452C16" w:rsidTr="00452C16">
        <w:trPr>
          <w:trHeight w:val="458"/>
        </w:trPr>
        <w:tc>
          <w:tcPr>
            <w:tcW w:w="3504" w:type="dxa"/>
            <w:gridSpan w:val="3"/>
            <w:tcBorders>
              <w:left w:val="nil"/>
              <w:bottom w:val="nil"/>
            </w:tcBorders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2338" w:type="dxa"/>
            <w:gridSpan w:val="2"/>
            <w:tcBorders>
              <w:top w:val="nil"/>
              <w:right w:val="nil"/>
            </w:tcBorders>
          </w:tcPr>
          <w:p w:rsidR="00452C16" w:rsidRDefault="00452C16"/>
        </w:tc>
      </w:tr>
      <w:tr w:rsidR="00452C16" w:rsidTr="00452C16">
        <w:trPr>
          <w:trHeight w:val="485"/>
        </w:trPr>
        <w:tc>
          <w:tcPr>
            <w:tcW w:w="4672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</w:tr>
      <w:tr w:rsidR="00452C16" w:rsidTr="002909B5">
        <w:trPr>
          <w:trHeight w:val="485"/>
        </w:trPr>
        <w:tc>
          <w:tcPr>
            <w:tcW w:w="4672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  <w:right w:val="nil"/>
            </w:tcBorders>
          </w:tcPr>
          <w:p w:rsidR="00452C16" w:rsidRDefault="00452C16"/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:rsidR="00452C16" w:rsidRDefault="00452C16"/>
        </w:tc>
      </w:tr>
      <w:tr w:rsidR="00452C16" w:rsidTr="00452C16">
        <w:trPr>
          <w:trHeight w:val="458"/>
        </w:trPr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</w:tr>
      <w:tr w:rsidR="00452C16" w:rsidTr="00452C16">
        <w:trPr>
          <w:trHeight w:val="485"/>
        </w:trPr>
        <w:tc>
          <w:tcPr>
            <w:tcW w:w="1168" w:type="dxa"/>
            <w:tcBorders>
              <w:top w:val="nil"/>
              <w:left w:val="nil"/>
              <w:bottom w:val="nil"/>
            </w:tcBorders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</w:tr>
      <w:tr w:rsidR="00452C16" w:rsidTr="00452C16">
        <w:trPr>
          <w:trHeight w:val="458"/>
        </w:trPr>
        <w:tc>
          <w:tcPr>
            <w:tcW w:w="3504" w:type="dxa"/>
            <w:gridSpan w:val="3"/>
            <w:tcBorders>
              <w:top w:val="nil"/>
              <w:left w:val="nil"/>
              <w:bottom w:val="nil"/>
            </w:tcBorders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  <w:vMerge w:val="restart"/>
            <w:tcBorders>
              <w:right w:val="nil"/>
            </w:tcBorders>
          </w:tcPr>
          <w:p w:rsidR="00452C16" w:rsidRDefault="00452C16"/>
        </w:tc>
      </w:tr>
      <w:tr w:rsidR="00452C16" w:rsidTr="00452C16">
        <w:trPr>
          <w:trHeight w:val="485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</w:tcBorders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  <w:vMerge/>
            <w:tcBorders>
              <w:right w:val="nil"/>
            </w:tcBorders>
          </w:tcPr>
          <w:p w:rsidR="00452C16" w:rsidRDefault="00452C16"/>
        </w:tc>
      </w:tr>
      <w:tr w:rsidR="00452C16" w:rsidTr="00452C16">
        <w:trPr>
          <w:trHeight w:val="458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</w:tcBorders>
          </w:tcPr>
          <w:p w:rsidR="00452C16" w:rsidRDefault="00452C16">
            <w:bookmarkStart w:id="0" w:name="_GoBack" w:colFirst="8" w:colLast="8"/>
          </w:p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  <w:vMerge/>
            <w:tcBorders>
              <w:right w:val="nil"/>
            </w:tcBorders>
          </w:tcPr>
          <w:p w:rsidR="00452C16" w:rsidRDefault="00452C16"/>
        </w:tc>
      </w:tr>
      <w:bookmarkEnd w:id="0"/>
      <w:tr w:rsidR="00452C16" w:rsidTr="00452C16">
        <w:trPr>
          <w:trHeight w:val="485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</w:tcBorders>
          </w:tcPr>
          <w:p w:rsidR="00452C16" w:rsidRDefault="00452C16"/>
        </w:tc>
        <w:tc>
          <w:tcPr>
            <w:tcW w:w="1168" w:type="dxa"/>
          </w:tcPr>
          <w:p w:rsidR="00452C16" w:rsidRDefault="00452C16"/>
        </w:tc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  <w:vMerge/>
            <w:tcBorders>
              <w:right w:val="nil"/>
            </w:tcBorders>
          </w:tcPr>
          <w:p w:rsidR="00452C16" w:rsidRDefault="00452C16"/>
        </w:tc>
      </w:tr>
      <w:tr w:rsidR="00452C16" w:rsidTr="00452C16">
        <w:trPr>
          <w:gridBefore w:val="3"/>
          <w:wBefore w:w="3504" w:type="dxa"/>
          <w:trHeight w:val="485"/>
        </w:trPr>
        <w:tc>
          <w:tcPr>
            <w:tcW w:w="1168" w:type="dxa"/>
            <w:tcBorders>
              <w:right w:val="single" w:sz="18" w:space="0" w:color="auto"/>
            </w:tcBorders>
          </w:tcPr>
          <w:p w:rsidR="00452C16" w:rsidRDefault="00452C16"/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452C16" w:rsidRDefault="00452C16"/>
        </w:tc>
        <w:tc>
          <w:tcPr>
            <w:tcW w:w="1169" w:type="dxa"/>
            <w:tcBorders>
              <w:left w:val="single" w:sz="18" w:space="0" w:color="auto"/>
            </w:tcBorders>
          </w:tcPr>
          <w:p w:rsidR="00452C16" w:rsidRDefault="00452C16"/>
        </w:tc>
        <w:tc>
          <w:tcPr>
            <w:tcW w:w="1169" w:type="dxa"/>
          </w:tcPr>
          <w:p w:rsidR="00452C16" w:rsidRDefault="00452C16"/>
        </w:tc>
        <w:tc>
          <w:tcPr>
            <w:tcW w:w="1169" w:type="dxa"/>
            <w:tcBorders>
              <w:bottom w:val="nil"/>
              <w:right w:val="nil"/>
            </w:tcBorders>
          </w:tcPr>
          <w:p w:rsidR="00452C16" w:rsidRDefault="00452C16"/>
        </w:tc>
        <w:tc>
          <w:tcPr>
            <w:tcW w:w="1169" w:type="dxa"/>
            <w:vMerge/>
            <w:tcBorders>
              <w:left w:val="nil"/>
              <w:bottom w:val="nil"/>
              <w:right w:val="nil"/>
            </w:tcBorders>
          </w:tcPr>
          <w:p w:rsidR="00452C16" w:rsidRDefault="00452C16"/>
        </w:tc>
      </w:tr>
    </w:tbl>
    <w:p w:rsidR="0035602C" w:rsidRDefault="0035602C" w:rsidP="0035602C">
      <w:pPr>
        <w:pStyle w:val="Odstavecseseznamem"/>
      </w:pPr>
    </w:p>
    <w:p w:rsidR="00452C16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označení bylin, které od určitého roku života kvetou a plodí každý rok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skupina živočichů, která se hodně podílí na rozšiřování semen rostlin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bylinný stonek s </w:t>
      </w:r>
      <w:proofErr w:type="spellStart"/>
      <w:r>
        <w:rPr>
          <w:rFonts w:ascii="Arial Narrow" w:hAnsi="Arial Narrow"/>
          <w:sz w:val="24"/>
          <w:szCs w:val="24"/>
        </w:rPr>
        <w:t>kolé</w:t>
      </w:r>
      <w:r w:rsidRPr="0035602C">
        <w:rPr>
          <w:rFonts w:ascii="Arial Narrow" w:hAnsi="Arial Narrow"/>
          <w:sz w:val="24"/>
          <w:szCs w:val="24"/>
        </w:rPr>
        <w:t>nky</w:t>
      </w:r>
      <w:proofErr w:type="spellEnd"/>
      <w:r w:rsidRPr="0035602C">
        <w:rPr>
          <w:rFonts w:ascii="Arial Narrow" w:hAnsi="Arial Narrow"/>
          <w:sz w:val="24"/>
          <w:szCs w:val="24"/>
        </w:rPr>
        <w:t>, uvnitř je dutý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skupina rostlin, která se rozmnožuje pomocí výtrusů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plochá část listu</w:t>
      </w:r>
    </w:p>
    <w:p w:rsidR="0035602C" w:rsidRPr="0035602C" w:rsidRDefault="0035602C" w:rsidP="0035602C">
      <w:pPr>
        <w:pStyle w:val="Odstavecseseznamem"/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x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orgán vyrůstající ze semene jako první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splynutí samčí a samičí pohlavní buňky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nejmenší částečka každé</w:t>
      </w:r>
      <w:r w:rsidRPr="0035602C">
        <w:rPr>
          <w:rFonts w:ascii="Arial Narrow" w:hAnsi="Arial Narrow"/>
          <w:sz w:val="24"/>
          <w:szCs w:val="24"/>
        </w:rPr>
        <w:t>ho živého organismu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část semene se zásobními látkami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lepkavá část pestíku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květní lístky stejnoobalného květu</w:t>
      </w:r>
    </w:p>
    <w:p w:rsidR="0035602C" w:rsidRPr="0035602C" w:rsidRDefault="0035602C" w:rsidP="0035602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602C">
        <w:rPr>
          <w:rFonts w:ascii="Arial Narrow" w:hAnsi="Arial Narrow"/>
          <w:sz w:val="24"/>
          <w:szCs w:val="24"/>
        </w:rPr>
        <w:t>vrstva dřevnatého stonku</w:t>
      </w:r>
    </w:p>
    <w:sectPr w:rsidR="0035602C" w:rsidRPr="0035602C" w:rsidSect="00452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6D0"/>
    <w:multiLevelType w:val="hybridMultilevel"/>
    <w:tmpl w:val="7A3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F"/>
    <w:rsid w:val="002909B5"/>
    <w:rsid w:val="0035602C"/>
    <w:rsid w:val="00452C16"/>
    <w:rsid w:val="005144CF"/>
    <w:rsid w:val="007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2C1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C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2C1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meister.eu/img/volvoxglobator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2014-03-23T21:17:00Z</dcterms:created>
  <dcterms:modified xsi:type="dcterms:W3CDTF">2014-03-23T21:17:00Z</dcterms:modified>
</cp:coreProperties>
</file>